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12" w:rsidRPr="00F27947" w:rsidRDefault="00C60812" w:rsidP="00C60812">
      <w:pPr>
        <w:rPr>
          <w:rFonts w:ascii="Avenir Next" w:hAnsi="Avenir Next"/>
        </w:rPr>
      </w:pPr>
      <w:bookmarkStart w:id="0" w:name="_GoBack"/>
      <w:bookmarkEnd w:id="0"/>
      <w:r w:rsidRPr="00F27947">
        <w:rPr>
          <w:noProof/>
          <w:lang w:val="en-US"/>
        </w:rPr>
        <w:drawing>
          <wp:anchor distT="0" distB="0" distL="114300" distR="114300" simplePos="0" relativeHeight="251658240" behindDoc="0" locked="0" layoutInCell="1" allowOverlap="1" wp14:anchorId="3DC7EFD9" wp14:editId="3A49283B">
            <wp:simplePos x="0" y="0"/>
            <wp:positionH relativeFrom="margin">
              <wp:posOffset>2992755</wp:posOffset>
            </wp:positionH>
            <wp:positionV relativeFrom="margin">
              <wp:posOffset>-714375</wp:posOffset>
            </wp:positionV>
            <wp:extent cx="295783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C LOGO JPEG with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7830" cy="1219200"/>
                    </a:xfrm>
                    <a:prstGeom prst="rect">
                      <a:avLst/>
                    </a:prstGeom>
                  </pic:spPr>
                </pic:pic>
              </a:graphicData>
            </a:graphic>
            <wp14:sizeRelH relativeFrom="margin">
              <wp14:pctWidth>0</wp14:pctWidth>
            </wp14:sizeRelH>
            <wp14:sizeRelV relativeFrom="margin">
              <wp14:pctHeight>0</wp14:pctHeight>
            </wp14:sizeRelV>
          </wp:anchor>
        </w:drawing>
      </w:r>
      <w:r w:rsidRPr="00F27947">
        <w:rPr>
          <w:rFonts w:ascii="Avenir Next" w:hAnsi="Avenir Next"/>
        </w:rPr>
        <w:t>__________________________________________________________________________________</w:t>
      </w:r>
    </w:p>
    <w:p w:rsidR="00C60812" w:rsidRPr="00F27947" w:rsidRDefault="00C60812" w:rsidP="00C60812">
      <w:pPr>
        <w:rPr>
          <w:rFonts w:ascii="Avenir Next" w:hAnsi="Avenir Next"/>
        </w:rPr>
      </w:pPr>
      <w:r w:rsidRPr="00F27947">
        <w:rPr>
          <w:rFonts w:ascii="Avenir Next" w:hAnsi="Avenir Next"/>
          <w:b/>
        </w:rPr>
        <w:t>PRESS RELEASE</w:t>
      </w:r>
      <w:r w:rsidRPr="00F27947">
        <w:rPr>
          <w:rFonts w:ascii="Avenir Next" w:hAnsi="Avenir Next"/>
          <w:b/>
        </w:rPr>
        <w:tab/>
      </w:r>
      <w:r w:rsidRPr="00F27947">
        <w:rPr>
          <w:rFonts w:ascii="Avenir Next" w:hAnsi="Avenir Next"/>
        </w:rPr>
        <w:tab/>
      </w:r>
      <w:r w:rsidRPr="00F27947">
        <w:rPr>
          <w:rFonts w:ascii="Avenir Next" w:hAnsi="Avenir Next"/>
        </w:rPr>
        <w:tab/>
      </w:r>
      <w:r w:rsidRPr="00F27947">
        <w:rPr>
          <w:rFonts w:ascii="Avenir Next" w:hAnsi="Avenir Next"/>
        </w:rPr>
        <w:tab/>
      </w:r>
      <w:r w:rsidRPr="00F27947">
        <w:rPr>
          <w:rFonts w:ascii="Avenir Next" w:hAnsi="Avenir Next"/>
        </w:rPr>
        <w:tab/>
        <w:t xml:space="preserve">                                  3 August 2017</w:t>
      </w:r>
    </w:p>
    <w:p w:rsidR="00C60812" w:rsidRPr="00F27947" w:rsidRDefault="00C60812" w:rsidP="00C60812">
      <w:pPr>
        <w:rPr>
          <w:rFonts w:ascii="Avenir Next" w:hAnsi="Avenir Next"/>
          <w:i/>
        </w:rPr>
      </w:pPr>
      <w:r w:rsidRPr="00F27947">
        <w:rPr>
          <w:rFonts w:ascii="Avenir Next" w:hAnsi="Avenir Next"/>
          <w:i/>
        </w:rPr>
        <w:t>(For Immediate Release &amp; Publication)</w:t>
      </w:r>
    </w:p>
    <w:p w:rsidR="005E3619" w:rsidRPr="00F27947" w:rsidRDefault="005E3619"/>
    <w:p w:rsidR="00021A8C" w:rsidRPr="00F27947" w:rsidRDefault="0065487B" w:rsidP="00021A8C">
      <w:pPr>
        <w:jc w:val="center"/>
        <w:rPr>
          <w:rFonts w:ascii="Avenir Next" w:hAnsi="Avenir Next"/>
          <w:b/>
        </w:rPr>
      </w:pPr>
      <w:r w:rsidRPr="00F27947">
        <w:rPr>
          <w:rFonts w:ascii="Avenir Next" w:hAnsi="Avenir Next"/>
          <w:b/>
        </w:rPr>
        <w:t>CGC unveils ‘</w:t>
      </w:r>
      <w:r w:rsidR="00021A8C" w:rsidRPr="00F27947">
        <w:rPr>
          <w:rFonts w:ascii="Avenir Next" w:hAnsi="Avenir Next"/>
          <w:b/>
        </w:rPr>
        <w:t>CGC SME Apprentice Scheme</w:t>
      </w:r>
      <w:r w:rsidRPr="00F27947">
        <w:rPr>
          <w:rFonts w:ascii="Avenir Next" w:hAnsi="Avenir Next"/>
          <w:b/>
        </w:rPr>
        <w:t>’</w:t>
      </w:r>
    </w:p>
    <w:p w:rsidR="00021A8C" w:rsidRPr="00F27947" w:rsidRDefault="00021A8C" w:rsidP="00021A8C">
      <w:pPr>
        <w:jc w:val="center"/>
        <w:rPr>
          <w:rFonts w:ascii="Avenir Next" w:hAnsi="Avenir Next"/>
          <w:i/>
        </w:rPr>
      </w:pPr>
      <w:r w:rsidRPr="00F27947">
        <w:rPr>
          <w:rFonts w:ascii="Avenir Next" w:hAnsi="Avenir Next"/>
          <w:i/>
        </w:rPr>
        <w:t>The scheme targets to enrich</w:t>
      </w:r>
      <w:r w:rsidR="0065487B" w:rsidRPr="00F27947">
        <w:rPr>
          <w:rFonts w:ascii="Avenir Next" w:hAnsi="Avenir Next"/>
          <w:i/>
        </w:rPr>
        <w:t xml:space="preserve"> the career pathway of</w:t>
      </w:r>
      <w:r w:rsidRPr="00F27947">
        <w:rPr>
          <w:rFonts w:ascii="Avenir Next" w:hAnsi="Avenir Next"/>
          <w:i/>
        </w:rPr>
        <w:t xml:space="preserve"> unemployed TVET graduates</w:t>
      </w:r>
    </w:p>
    <w:p w:rsidR="00021A8C" w:rsidRPr="00F27947" w:rsidRDefault="00021A8C" w:rsidP="00021A8C">
      <w:pPr>
        <w:rPr>
          <w:rFonts w:ascii="Avenir Next" w:hAnsi="Avenir Next"/>
        </w:rPr>
      </w:pPr>
    </w:p>
    <w:p w:rsidR="009128D5" w:rsidRPr="00F27947" w:rsidRDefault="00021A8C" w:rsidP="00D00D12">
      <w:pPr>
        <w:spacing w:line="360" w:lineRule="auto"/>
        <w:jc w:val="both"/>
        <w:rPr>
          <w:rFonts w:ascii="Avenir Next" w:hAnsi="Avenir Next"/>
        </w:rPr>
      </w:pPr>
      <w:r w:rsidRPr="00F27947">
        <w:rPr>
          <w:rFonts w:ascii="Avenir Next" w:hAnsi="Avenir Next"/>
          <w:b/>
        </w:rPr>
        <w:t>KUALA LUMPUR, August 3</w:t>
      </w:r>
      <w:r w:rsidRPr="00F27947">
        <w:rPr>
          <w:rFonts w:ascii="Avenir Next" w:hAnsi="Avenir Next"/>
        </w:rPr>
        <w:t xml:space="preserve"> </w:t>
      </w:r>
      <w:r w:rsidR="00BF3CBE" w:rsidRPr="00F27947">
        <w:rPr>
          <w:rFonts w:ascii="Avenir Next" w:hAnsi="Avenir Next"/>
        </w:rPr>
        <w:t>–</w:t>
      </w:r>
      <w:r w:rsidR="001307D3" w:rsidRPr="00F27947">
        <w:rPr>
          <w:rFonts w:ascii="Avenir Next" w:hAnsi="Avenir Next"/>
        </w:rPr>
        <w:t xml:space="preserve"> </w:t>
      </w:r>
      <w:r w:rsidR="00BF3CBE" w:rsidRPr="00F27947">
        <w:rPr>
          <w:rFonts w:ascii="Avenir Next" w:hAnsi="Avenir Next"/>
        </w:rPr>
        <w:t xml:space="preserve">The </w:t>
      </w:r>
      <w:r w:rsidR="001307D3" w:rsidRPr="00F27947">
        <w:rPr>
          <w:rFonts w:ascii="Avenir Next" w:hAnsi="Avenir Next"/>
        </w:rPr>
        <w:t xml:space="preserve">“CGC SME Apprentice Scheme” or CGC SAS, is a landmark </w:t>
      </w:r>
      <w:r w:rsidR="00E47798" w:rsidRPr="00F27947">
        <w:rPr>
          <w:rFonts w:ascii="Avenir Next" w:hAnsi="Avenir Next"/>
        </w:rPr>
        <w:t>apprentice scheme</w:t>
      </w:r>
      <w:r w:rsidR="001307D3" w:rsidRPr="00F27947">
        <w:rPr>
          <w:rFonts w:ascii="Avenir Next" w:hAnsi="Avenir Next"/>
        </w:rPr>
        <w:t xml:space="preserve"> by Credit Guarantee Corporation Malaysia Berhad (CGC) to provide on-the-job training skills to unemployed </w:t>
      </w:r>
      <w:r w:rsidR="00E47798" w:rsidRPr="00F27947">
        <w:rPr>
          <w:rFonts w:ascii="Avenir Next" w:hAnsi="Avenir Next"/>
        </w:rPr>
        <w:t>Technical and V</w:t>
      </w:r>
      <w:r w:rsidR="001307D3" w:rsidRPr="00F27947">
        <w:rPr>
          <w:rFonts w:ascii="Avenir Next" w:hAnsi="Avenir Next"/>
        </w:rPr>
        <w:t>oc</w:t>
      </w:r>
      <w:r w:rsidR="00E47798" w:rsidRPr="00F27947">
        <w:rPr>
          <w:rFonts w:ascii="Avenir Next" w:hAnsi="Avenir Next"/>
        </w:rPr>
        <w:t>ational Education and T</w:t>
      </w:r>
      <w:r w:rsidR="001307D3" w:rsidRPr="00F27947">
        <w:rPr>
          <w:rFonts w:ascii="Avenir Next" w:hAnsi="Avenir Next"/>
        </w:rPr>
        <w:t xml:space="preserve">raining (TVET) graduates. </w:t>
      </w:r>
    </w:p>
    <w:p w:rsidR="000B0222" w:rsidRPr="00F27947" w:rsidRDefault="001307D3" w:rsidP="00505FAE">
      <w:pPr>
        <w:spacing w:line="360" w:lineRule="auto"/>
        <w:jc w:val="both"/>
        <w:rPr>
          <w:rFonts w:ascii="Avenir Next" w:hAnsi="Avenir Next"/>
        </w:rPr>
      </w:pPr>
      <w:r w:rsidRPr="00F27947">
        <w:rPr>
          <w:rFonts w:ascii="Avenir Next" w:hAnsi="Avenir Next"/>
        </w:rPr>
        <w:t xml:space="preserve">The </w:t>
      </w:r>
      <w:r w:rsidR="00E47798" w:rsidRPr="00F27947">
        <w:rPr>
          <w:rFonts w:ascii="Avenir Next" w:hAnsi="Avenir Next"/>
        </w:rPr>
        <w:t xml:space="preserve">CGC SAS </w:t>
      </w:r>
      <w:r w:rsidRPr="00F27947">
        <w:rPr>
          <w:rFonts w:ascii="Avenir Next" w:hAnsi="Avenir Next"/>
        </w:rPr>
        <w:t xml:space="preserve">is unique </w:t>
      </w:r>
      <w:r w:rsidR="009128D5" w:rsidRPr="00F27947">
        <w:rPr>
          <w:rFonts w:ascii="Avenir Next" w:hAnsi="Avenir Next"/>
        </w:rPr>
        <w:t xml:space="preserve">as it </w:t>
      </w:r>
      <w:r w:rsidR="000B0222" w:rsidRPr="00F27947">
        <w:rPr>
          <w:rFonts w:ascii="Avenir Next" w:hAnsi="Avenir Next"/>
        </w:rPr>
        <w:t xml:space="preserve">focuses </w:t>
      </w:r>
      <w:r w:rsidR="00E47798" w:rsidRPr="00F27947">
        <w:rPr>
          <w:rFonts w:ascii="Avenir Next" w:hAnsi="Avenir Next"/>
        </w:rPr>
        <w:t xml:space="preserve">on </w:t>
      </w:r>
      <w:r w:rsidR="000B0222" w:rsidRPr="00F27947">
        <w:rPr>
          <w:rFonts w:ascii="Avenir Next" w:hAnsi="Avenir Next"/>
        </w:rPr>
        <w:t>TVET graduates, particularly on developing much needed skills for the current job market, besides encourage them to explore entrepreneurship as their career</w:t>
      </w:r>
      <w:r w:rsidR="00E47798" w:rsidRPr="00F27947">
        <w:rPr>
          <w:rFonts w:ascii="Avenir Next" w:hAnsi="Avenir Next"/>
        </w:rPr>
        <w:t xml:space="preserve"> option</w:t>
      </w:r>
      <w:r w:rsidR="000B0222" w:rsidRPr="00F27947">
        <w:rPr>
          <w:rFonts w:ascii="Avenir Next" w:hAnsi="Avenir Next"/>
        </w:rPr>
        <w:t>, moving forward.</w:t>
      </w:r>
      <w:r w:rsidR="000B0222" w:rsidRPr="00F27947">
        <w:rPr>
          <w:rFonts w:ascii="Avenir Next" w:hAnsi="Avenir Next"/>
          <w:color w:val="000000" w:themeColor="text1"/>
          <w:lang w:val="en-GB"/>
        </w:rPr>
        <w:t xml:space="preserve"> Under this scheme, CGC assist unemployed TVET graduates in securing a one-year working engagement at selected SMEs</w:t>
      </w:r>
      <w:r w:rsidR="00E47798" w:rsidRPr="00F27947">
        <w:rPr>
          <w:rFonts w:ascii="Avenir Next" w:hAnsi="Avenir Next"/>
          <w:color w:val="000000" w:themeColor="text1"/>
          <w:lang w:val="en-GB"/>
        </w:rPr>
        <w:t xml:space="preserve"> who were involved in the interview process</w:t>
      </w:r>
      <w:r w:rsidR="000B0222" w:rsidRPr="00F27947">
        <w:rPr>
          <w:rFonts w:ascii="Avenir Next" w:hAnsi="Avenir Next"/>
          <w:color w:val="000000" w:themeColor="text1"/>
          <w:lang w:val="en-GB"/>
        </w:rPr>
        <w:t xml:space="preserve">. The </w:t>
      </w:r>
      <w:r w:rsidR="00E47798" w:rsidRPr="00F27947">
        <w:rPr>
          <w:rFonts w:ascii="Avenir Next" w:hAnsi="Avenir Next"/>
          <w:color w:val="000000" w:themeColor="text1"/>
          <w:lang w:val="en-GB"/>
        </w:rPr>
        <w:t>apprentice scheme</w:t>
      </w:r>
      <w:r w:rsidR="000B0222" w:rsidRPr="00F27947">
        <w:rPr>
          <w:rFonts w:ascii="Avenir Next" w:hAnsi="Avenir Next"/>
          <w:color w:val="000000" w:themeColor="text1"/>
          <w:lang w:val="en-GB"/>
        </w:rPr>
        <w:t xml:space="preserve"> kicked-off in May 2017 and will end in May 2018.</w:t>
      </w:r>
    </w:p>
    <w:p w:rsidR="00D00D12" w:rsidRPr="00F27947" w:rsidRDefault="00D00D12" w:rsidP="00D00D12">
      <w:pPr>
        <w:spacing w:after="255" w:line="360" w:lineRule="auto"/>
        <w:jc w:val="both"/>
        <w:rPr>
          <w:rFonts w:ascii="Avenir Next" w:hAnsi="Avenir Next"/>
          <w:color w:val="000000" w:themeColor="text1"/>
          <w:lang w:val="en-GB"/>
        </w:rPr>
      </w:pPr>
      <w:r w:rsidRPr="00F27947">
        <w:rPr>
          <w:rFonts w:ascii="Avenir Next" w:hAnsi="Avenir Next"/>
        </w:rPr>
        <w:t xml:space="preserve">The </w:t>
      </w:r>
      <w:r w:rsidRPr="00F27947">
        <w:rPr>
          <w:rFonts w:ascii="Avenir Next" w:hAnsi="Avenir Next"/>
          <w:lang w:val="en-GB"/>
        </w:rPr>
        <w:t xml:space="preserve">apprenticeship scheme is different from the rest as CGC will pay </w:t>
      </w:r>
      <w:r w:rsidRPr="00F27947">
        <w:rPr>
          <w:rFonts w:ascii="Avenir Next" w:hAnsi="Avenir Next"/>
          <w:color w:val="000000" w:themeColor="text1"/>
          <w:lang w:val="en-GB"/>
        </w:rPr>
        <w:t xml:space="preserve">90% of the cost, which include the monthly salaries, employment benefits and statutory contributions </w:t>
      </w:r>
      <w:r w:rsidRPr="00F27947">
        <w:rPr>
          <w:rFonts w:ascii="Avenir Next" w:hAnsi="Avenir Next"/>
          <w:lang w:val="en-GB"/>
        </w:rPr>
        <w:t xml:space="preserve">whilst the remaining 10% will be borne by the participating SMEs. In total, </w:t>
      </w:r>
      <w:r w:rsidRPr="00F27947">
        <w:rPr>
          <w:rFonts w:ascii="Avenir Next" w:hAnsi="Avenir Next"/>
          <w:color w:val="000000" w:themeColor="text1"/>
          <w:lang w:val="en-GB"/>
        </w:rPr>
        <w:t xml:space="preserve">CGC will be spending more than half a million ringgit to undertake this </w:t>
      </w:r>
      <w:r w:rsidR="00E47798" w:rsidRPr="00F27947">
        <w:rPr>
          <w:rFonts w:ascii="Avenir Next" w:hAnsi="Avenir Next"/>
          <w:color w:val="000000" w:themeColor="text1"/>
          <w:lang w:val="en-GB"/>
        </w:rPr>
        <w:t xml:space="preserve">apprentice </w:t>
      </w:r>
      <w:r w:rsidRPr="00F27947">
        <w:rPr>
          <w:rFonts w:ascii="Avenir Next" w:hAnsi="Avenir Next"/>
          <w:color w:val="000000" w:themeColor="text1"/>
          <w:lang w:val="en-GB"/>
        </w:rPr>
        <w:t xml:space="preserve">scheme and this is part of its corporate responsibility activity. </w:t>
      </w:r>
    </w:p>
    <w:p w:rsidR="00CA6C15" w:rsidRPr="00F27947" w:rsidRDefault="00BF3CBE" w:rsidP="00D00D12">
      <w:pPr>
        <w:spacing w:after="255" w:line="360" w:lineRule="auto"/>
        <w:jc w:val="both"/>
        <w:rPr>
          <w:rFonts w:ascii="Avenir Next" w:hAnsi="Avenir Next"/>
          <w:color w:val="000000" w:themeColor="text1"/>
          <w:lang w:val="en-GB"/>
        </w:rPr>
      </w:pPr>
      <w:r w:rsidRPr="00F27947">
        <w:rPr>
          <w:rFonts w:ascii="Avenir Next" w:hAnsi="Avenir Next"/>
          <w:color w:val="000000" w:themeColor="text1"/>
          <w:lang w:val="en-GB"/>
        </w:rPr>
        <w:t xml:space="preserve">The </w:t>
      </w:r>
      <w:r w:rsidR="00D00D12" w:rsidRPr="00F27947">
        <w:rPr>
          <w:rFonts w:ascii="Avenir Next" w:hAnsi="Avenir Next"/>
          <w:color w:val="000000" w:themeColor="text1"/>
          <w:lang w:val="en-GB"/>
        </w:rPr>
        <w:t xml:space="preserve">Deputy Minister of Youth and Sports, YB Datuk M. Saravanan launched the </w:t>
      </w:r>
      <w:r w:rsidR="0065487B" w:rsidRPr="00F27947">
        <w:rPr>
          <w:rFonts w:ascii="Avenir Next" w:hAnsi="Avenir Next"/>
          <w:color w:val="000000" w:themeColor="text1"/>
          <w:lang w:val="en-GB"/>
        </w:rPr>
        <w:t>‘</w:t>
      </w:r>
      <w:r w:rsidR="00D00D12" w:rsidRPr="00F27947">
        <w:rPr>
          <w:rFonts w:ascii="Avenir Next" w:hAnsi="Avenir Next"/>
          <w:color w:val="000000" w:themeColor="text1"/>
          <w:lang w:val="en-GB"/>
        </w:rPr>
        <w:t>CGC SME Apprentice Scheme</w:t>
      </w:r>
      <w:r w:rsidR="0065487B" w:rsidRPr="00F27947">
        <w:rPr>
          <w:rFonts w:ascii="Avenir Next" w:hAnsi="Avenir Next"/>
          <w:color w:val="000000" w:themeColor="text1"/>
          <w:lang w:val="en-GB"/>
        </w:rPr>
        <w:t>’</w:t>
      </w:r>
      <w:r w:rsidR="00D00D12" w:rsidRPr="00F27947">
        <w:rPr>
          <w:rFonts w:ascii="Avenir Next" w:hAnsi="Avenir Next"/>
          <w:color w:val="000000" w:themeColor="text1"/>
          <w:lang w:val="en-GB"/>
        </w:rPr>
        <w:t xml:space="preserve"> at Lanai Kijang, Kuala Lumpur, today.</w:t>
      </w:r>
      <w:r w:rsidR="00CA6C15" w:rsidRPr="00F27947">
        <w:rPr>
          <w:rFonts w:ascii="Avenir Next" w:hAnsi="Avenir Next"/>
        </w:rPr>
        <w:t xml:space="preserve"> </w:t>
      </w:r>
    </w:p>
    <w:p w:rsidR="00D00D12" w:rsidRPr="00F27947" w:rsidRDefault="00D00D12" w:rsidP="00505FAE">
      <w:pPr>
        <w:spacing w:after="255" w:line="360" w:lineRule="auto"/>
        <w:jc w:val="both"/>
        <w:rPr>
          <w:rFonts w:ascii="Avenir Next" w:hAnsi="Avenir Next"/>
          <w:lang w:val="en-US"/>
        </w:rPr>
      </w:pPr>
      <w:r w:rsidRPr="00F27947">
        <w:rPr>
          <w:rFonts w:ascii="Avenir Next" w:hAnsi="Avenir Next"/>
        </w:rPr>
        <w:t>In his opening remarks, YB Datuk M. Saravanan said:”</w:t>
      </w:r>
      <w:r w:rsidRPr="00F27947">
        <w:rPr>
          <w:rFonts w:ascii="Avenir Next" w:hAnsi="Avenir Next"/>
          <w:lang w:val="en-US"/>
        </w:rPr>
        <w:t xml:space="preserve"> Entrepreneurship is the seed that grows jobs. Starting a business increases competition in the market, creates jobs and promotes sustainable growth in the greater economy – all of which are key to tackling youth unemployment.</w:t>
      </w:r>
    </w:p>
    <w:p w:rsidR="00D00D12" w:rsidRPr="00F27947" w:rsidRDefault="00D00D12" w:rsidP="00D00D12">
      <w:pPr>
        <w:spacing w:line="360" w:lineRule="auto"/>
        <w:jc w:val="both"/>
        <w:rPr>
          <w:rFonts w:ascii="Avenir Next" w:hAnsi="Avenir Next"/>
          <w:color w:val="000000" w:themeColor="text1"/>
          <w:lang w:val="en-GB"/>
        </w:rPr>
      </w:pPr>
      <w:r w:rsidRPr="00F27947">
        <w:rPr>
          <w:rFonts w:ascii="Avenir Next" w:hAnsi="Avenir Next" w:cs="Arial"/>
        </w:rPr>
        <w:t>“Initiatives such as CGC’s SME Apprentice Scheme are in sync with the current manpower needs of the country</w:t>
      </w:r>
      <w:r w:rsidRPr="00F27947">
        <w:rPr>
          <w:rFonts w:ascii="Avenir Next" w:hAnsi="Avenir Next"/>
          <w:color w:val="000000" w:themeColor="text1"/>
          <w:lang w:val="en-GB"/>
        </w:rPr>
        <w:t xml:space="preserve">. A big shout-out to the participating SMEs and apprentices here. This is a useful platform to promote connectivity between TVET graduates, SMEs and the real job market, besides serving as the starting point for the apprentices to galvanise and continue to contribute in innovation, creativity and inclusion of competitive entrepreneurship. I tend to agree that in order to </w:t>
      </w:r>
      <w:r w:rsidRPr="00F27947">
        <w:rPr>
          <w:rFonts w:ascii="Avenir Next" w:hAnsi="Avenir Next"/>
          <w:color w:val="000000" w:themeColor="text1"/>
          <w:lang w:val="en-GB"/>
        </w:rPr>
        <w:lastRenderedPageBreak/>
        <w:t>ensure continuous growth of our economy, all parties must work together as one big team. Valuable talents must be nurtured and not be limited to a specific group.”</w:t>
      </w:r>
    </w:p>
    <w:p w:rsidR="00D00D12" w:rsidRPr="00F27947" w:rsidRDefault="00D00D12" w:rsidP="00D00D12">
      <w:pPr>
        <w:spacing w:after="255" w:line="360" w:lineRule="auto"/>
        <w:jc w:val="both"/>
        <w:rPr>
          <w:rFonts w:ascii="Avenir Next" w:hAnsi="Avenir Next"/>
        </w:rPr>
      </w:pPr>
      <w:r w:rsidRPr="00F27947">
        <w:rPr>
          <w:rFonts w:ascii="Avenir Next" w:hAnsi="Avenir Next"/>
        </w:rPr>
        <w:t>CGC</w:t>
      </w:r>
      <w:r w:rsidR="00CA6C15" w:rsidRPr="00F27947">
        <w:rPr>
          <w:rFonts w:ascii="Avenir Next" w:hAnsi="Avenir Next"/>
        </w:rPr>
        <w:t>’s</w:t>
      </w:r>
      <w:r w:rsidRPr="00F27947">
        <w:rPr>
          <w:rFonts w:ascii="Avenir Next" w:hAnsi="Avenir Next"/>
        </w:rPr>
        <w:t xml:space="preserve"> Chairman Dato’ Agil Natt in his speech said that CGC aspire to continue to contribute to the nation building agenda with particular emphasis on developing human capital for SMEs.</w:t>
      </w:r>
    </w:p>
    <w:p w:rsidR="00D00D12" w:rsidRPr="00F27947" w:rsidRDefault="00D00D12" w:rsidP="00D00D12">
      <w:pPr>
        <w:spacing w:after="255" w:line="360" w:lineRule="auto"/>
        <w:jc w:val="both"/>
        <w:rPr>
          <w:rFonts w:ascii="Avenir Next" w:hAnsi="Avenir Next"/>
        </w:rPr>
      </w:pPr>
      <w:r w:rsidRPr="00F27947">
        <w:rPr>
          <w:rFonts w:ascii="Avenir Next" w:hAnsi="Avenir Next"/>
        </w:rPr>
        <w:t>“We think that by providing this training opportunity for TVET graduates, more aspiring students will undertake studies at TVET colleges and eventually become entrepreneurs by starting their own SMEs,” said Agil.</w:t>
      </w:r>
    </w:p>
    <w:p w:rsidR="00E47798" w:rsidRPr="00F27947" w:rsidRDefault="000B0222" w:rsidP="0065487B">
      <w:pPr>
        <w:spacing w:after="255" w:line="360" w:lineRule="auto"/>
        <w:jc w:val="both"/>
        <w:rPr>
          <w:rFonts w:ascii="Avenir Next" w:hAnsi="Avenir Next"/>
          <w:color w:val="000000" w:themeColor="text1"/>
          <w:lang w:val="en-GB"/>
        </w:rPr>
      </w:pPr>
      <w:r w:rsidRPr="00F27947">
        <w:rPr>
          <w:rFonts w:ascii="Avenir Next" w:hAnsi="Avenir Next"/>
          <w:color w:val="000000" w:themeColor="text1"/>
          <w:lang w:val="en-GB"/>
        </w:rPr>
        <w:t>Meanwhile, CGC’s President and Chief Executive Officer Datuk Mohd Zamree Mohd Ishak said</w:t>
      </w:r>
      <w:r w:rsidR="00E47798" w:rsidRPr="00F27947">
        <w:rPr>
          <w:rFonts w:ascii="Avenir Next" w:hAnsi="Avenir Next"/>
          <w:color w:val="000000" w:themeColor="text1"/>
          <w:lang w:val="en-GB"/>
        </w:rPr>
        <w:t>: “CGC SAS addresses two most talked about needs, ie TVET graduates</w:t>
      </w:r>
      <w:r w:rsidR="009A60C9">
        <w:rPr>
          <w:rFonts w:ascii="Avenir Next" w:hAnsi="Avenir Next"/>
          <w:color w:val="000000" w:themeColor="text1"/>
          <w:lang w:val="en-GB"/>
        </w:rPr>
        <w:t>’</w:t>
      </w:r>
      <w:r w:rsidR="00E47798" w:rsidRPr="00F27947">
        <w:rPr>
          <w:rFonts w:ascii="Avenir Next" w:hAnsi="Avenir Next"/>
          <w:color w:val="000000" w:themeColor="text1"/>
          <w:lang w:val="en-GB"/>
        </w:rPr>
        <w:t xml:space="preserve"> need for employment and exposure to become successful </w:t>
      </w:r>
      <w:r w:rsidR="009A60C9">
        <w:rPr>
          <w:rFonts w:ascii="Avenir Next" w:hAnsi="Avenir Next"/>
          <w:color w:val="000000" w:themeColor="text1"/>
          <w:lang w:val="en-GB"/>
        </w:rPr>
        <w:t>entrepreneurs</w:t>
      </w:r>
      <w:r w:rsidR="00E47798" w:rsidRPr="00F27947">
        <w:rPr>
          <w:rFonts w:ascii="Avenir Next" w:hAnsi="Avenir Next"/>
          <w:color w:val="000000" w:themeColor="text1"/>
          <w:lang w:val="en-GB"/>
        </w:rPr>
        <w:t xml:space="preserve"> and SMEs</w:t>
      </w:r>
      <w:r w:rsidR="009A60C9">
        <w:rPr>
          <w:rFonts w:ascii="Avenir Next" w:hAnsi="Avenir Next"/>
          <w:color w:val="000000" w:themeColor="text1"/>
          <w:lang w:val="en-GB"/>
        </w:rPr>
        <w:t>’</w:t>
      </w:r>
      <w:r w:rsidR="00E47798" w:rsidRPr="00F27947">
        <w:rPr>
          <w:rFonts w:ascii="Avenir Next" w:hAnsi="Avenir Next"/>
          <w:color w:val="000000" w:themeColor="text1"/>
          <w:lang w:val="en-GB"/>
        </w:rPr>
        <w:t xml:space="preserve"> need for skilled workers that matches their respective DNA. We really do go beyond financing to assist the SMEs and the CGC SAS is testimony of our on-going effort.”</w:t>
      </w:r>
    </w:p>
    <w:p w:rsidR="0065487B" w:rsidRPr="00F27947" w:rsidRDefault="0065487B" w:rsidP="0065487B">
      <w:pPr>
        <w:spacing w:after="255" w:line="360" w:lineRule="auto"/>
        <w:jc w:val="both"/>
        <w:rPr>
          <w:rFonts w:ascii="Avenir Next" w:hAnsi="Avenir Next"/>
          <w:color w:val="000000" w:themeColor="text1"/>
          <w:lang w:val="en-GB"/>
        </w:rPr>
      </w:pPr>
      <w:r w:rsidRPr="00F27947">
        <w:rPr>
          <w:rFonts w:ascii="Avenir Next" w:hAnsi="Avenir Next"/>
          <w:color w:val="000000" w:themeColor="text1"/>
          <w:lang w:val="en-GB"/>
        </w:rPr>
        <w:t>10 apprentices have already joined the</w:t>
      </w:r>
      <w:r w:rsidR="00E47798" w:rsidRPr="00F27947">
        <w:rPr>
          <w:rFonts w:ascii="Avenir Next" w:hAnsi="Avenir Next"/>
          <w:color w:val="000000" w:themeColor="text1"/>
          <w:lang w:val="en-GB"/>
        </w:rPr>
        <w:t xml:space="preserve"> 10</w:t>
      </w:r>
      <w:r w:rsidRPr="00F27947">
        <w:rPr>
          <w:rFonts w:ascii="Avenir Next" w:hAnsi="Avenir Next"/>
          <w:color w:val="000000" w:themeColor="text1"/>
          <w:lang w:val="en-GB"/>
        </w:rPr>
        <w:t xml:space="preserve"> respective participating SMEs </w:t>
      </w:r>
      <w:r w:rsidR="00E47798" w:rsidRPr="00F27947">
        <w:rPr>
          <w:rFonts w:ascii="Avenir Next" w:hAnsi="Avenir Next"/>
          <w:color w:val="000000" w:themeColor="text1"/>
          <w:lang w:val="en-GB"/>
        </w:rPr>
        <w:t xml:space="preserve">located in Johor, Kelantan, Pahang, Perak, Sabah, Sarawak and Selangor. The 10 SMEs are in businesses </w:t>
      </w:r>
      <w:r w:rsidRPr="00F27947">
        <w:rPr>
          <w:rFonts w:ascii="Avenir Next" w:hAnsi="Avenir Next"/>
          <w:color w:val="000000" w:themeColor="text1"/>
          <w:lang w:val="en-GB"/>
        </w:rPr>
        <w:t>such as</w:t>
      </w:r>
      <w:r w:rsidR="009A60C9">
        <w:rPr>
          <w:rFonts w:ascii="Avenir Next" w:hAnsi="Avenir Next"/>
          <w:color w:val="000000" w:themeColor="text1"/>
          <w:lang w:val="en-GB"/>
        </w:rPr>
        <w:t xml:space="preserve"> a</w:t>
      </w:r>
      <w:r w:rsidR="00D70367" w:rsidRPr="00F27947">
        <w:rPr>
          <w:rFonts w:ascii="Avenir Next" w:hAnsi="Avenir Next"/>
          <w:color w:val="000000" w:themeColor="text1"/>
          <w:lang w:val="en-GB"/>
        </w:rPr>
        <w:t>gro-based m</w:t>
      </w:r>
      <w:r w:rsidRPr="00F27947">
        <w:rPr>
          <w:rFonts w:ascii="Avenir Next" w:hAnsi="Avenir Next"/>
          <w:color w:val="000000" w:themeColor="text1"/>
          <w:lang w:val="en-GB"/>
        </w:rPr>
        <w:t>anufacturer,</w:t>
      </w:r>
      <w:r w:rsidR="00D70367" w:rsidRPr="00F27947">
        <w:rPr>
          <w:rFonts w:ascii="Avenir Next" w:hAnsi="Avenir Next"/>
          <w:color w:val="000000" w:themeColor="text1"/>
          <w:lang w:val="en-GB"/>
        </w:rPr>
        <w:t xml:space="preserve"> civil/electrical contractor, construction, green technology, human resource agency, IT s</w:t>
      </w:r>
      <w:r w:rsidRPr="00F27947">
        <w:rPr>
          <w:rFonts w:ascii="Avenir Next" w:hAnsi="Avenir Next"/>
          <w:color w:val="000000" w:themeColor="text1"/>
          <w:lang w:val="en-GB"/>
        </w:rPr>
        <w:t xml:space="preserve">olutions, </w:t>
      </w:r>
      <w:r w:rsidR="00D70367" w:rsidRPr="00F27947">
        <w:rPr>
          <w:rFonts w:ascii="Avenir Next" w:hAnsi="Avenir Next"/>
          <w:color w:val="000000" w:themeColor="text1"/>
          <w:lang w:val="en-GB"/>
        </w:rPr>
        <w:t>laundry services and the oil &amp; gas I</w:t>
      </w:r>
      <w:r w:rsidRPr="00F27947">
        <w:rPr>
          <w:rFonts w:ascii="Avenir Next" w:hAnsi="Avenir Next"/>
          <w:color w:val="000000" w:themeColor="text1"/>
          <w:lang w:val="en-GB"/>
        </w:rPr>
        <w:t xml:space="preserve">ndustry. </w:t>
      </w:r>
    </w:p>
    <w:p w:rsidR="00CA6C15" w:rsidRPr="00F27947" w:rsidRDefault="0065487B" w:rsidP="00505FAE">
      <w:pPr>
        <w:spacing w:after="255" w:line="360" w:lineRule="auto"/>
        <w:jc w:val="both"/>
        <w:rPr>
          <w:rFonts w:ascii="Avenir Next" w:hAnsi="Avenir Next"/>
        </w:rPr>
      </w:pPr>
      <w:r w:rsidRPr="00F27947">
        <w:rPr>
          <w:rFonts w:ascii="Avenir Next" w:hAnsi="Avenir Next"/>
          <w:color w:val="000000" w:themeColor="text1"/>
          <w:lang w:val="en-GB"/>
        </w:rPr>
        <w:t>-Ends-</w:t>
      </w:r>
    </w:p>
    <w:p w:rsidR="00CA6C15" w:rsidRPr="00F27947" w:rsidRDefault="00CA6C15" w:rsidP="0065487B">
      <w:pPr>
        <w:autoSpaceDE w:val="0"/>
        <w:autoSpaceDN w:val="0"/>
        <w:adjustRightInd w:val="0"/>
        <w:spacing w:after="0" w:line="360" w:lineRule="auto"/>
        <w:jc w:val="both"/>
        <w:rPr>
          <w:rFonts w:ascii="Avenir Next" w:hAnsi="Avenir Next"/>
        </w:rPr>
      </w:pPr>
    </w:p>
    <w:p w:rsidR="0065487B" w:rsidRPr="00F27947" w:rsidRDefault="0065487B" w:rsidP="0065487B">
      <w:pPr>
        <w:autoSpaceDE w:val="0"/>
        <w:autoSpaceDN w:val="0"/>
        <w:adjustRightInd w:val="0"/>
        <w:spacing w:after="0" w:line="360" w:lineRule="auto"/>
        <w:jc w:val="both"/>
        <w:rPr>
          <w:rFonts w:ascii="Avenir Next" w:hAnsi="Avenir Next" w:cs="Arial"/>
          <w:noProof/>
        </w:rPr>
      </w:pPr>
      <w:r w:rsidRPr="00F27947">
        <w:rPr>
          <w:rFonts w:ascii="Avenir Next" w:hAnsi="Avenir Next" w:cs="Arial"/>
          <w:b/>
          <w:sz w:val="20"/>
          <w:szCs w:val="20"/>
          <w:u w:val="single"/>
          <w:lang w:val="en-GB"/>
        </w:rPr>
        <w:t>ABOUT CGC</w:t>
      </w:r>
    </w:p>
    <w:p w:rsidR="0065487B" w:rsidRPr="00F27947" w:rsidRDefault="0065487B" w:rsidP="0065487B">
      <w:pPr>
        <w:spacing w:after="0" w:line="360" w:lineRule="auto"/>
        <w:jc w:val="both"/>
        <w:rPr>
          <w:rFonts w:ascii="Avenir Next" w:hAnsi="Avenir Next" w:cs="Arial"/>
          <w:sz w:val="20"/>
          <w:szCs w:val="20"/>
          <w:lang w:val="en-GB"/>
        </w:rPr>
      </w:pPr>
      <w:r w:rsidRPr="00F27947">
        <w:rPr>
          <w:rFonts w:ascii="Avenir Next" w:hAnsi="Avenir Next" w:cs="Arial"/>
          <w:sz w:val="20"/>
          <w:szCs w:val="20"/>
          <w:lang w:val="en-GB"/>
        </w:rPr>
        <w:t>Credit Guarantee Corporation Malaysia Berhad (CGC) was established on 5</w:t>
      </w:r>
      <w:r w:rsidRPr="00F27947">
        <w:rPr>
          <w:rFonts w:ascii="Avenir Next" w:hAnsi="Avenir Next" w:cs="Arial"/>
          <w:sz w:val="20"/>
          <w:szCs w:val="20"/>
          <w:vertAlign w:val="superscript"/>
          <w:lang w:val="en-GB"/>
        </w:rPr>
        <w:t xml:space="preserve"> </w:t>
      </w:r>
      <w:r w:rsidRPr="00F27947">
        <w:rPr>
          <w:rFonts w:ascii="Avenir Next" w:hAnsi="Avenir Next" w:cs="Arial"/>
          <w:sz w:val="20"/>
          <w:szCs w:val="20"/>
          <w:lang w:val="en-GB"/>
        </w:rPr>
        <w:t>July 1972 and it is 78.65% owned by Bank Negara Malaysia and the remaining 21.35% owned by various commercial banks in Malaysia.</w:t>
      </w:r>
    </w:p>
    <w:p w:rsidR="0065487B" w:rsidRPr="00F27947" w:rsidRDefault="0065487B" w:rsidP="0065487B">
      <w:pPr>
        <w:spacing w:after="0" w:line="360" w:lineRule="auto"/>
        <w:jc w:val="both"/>
        <w:rPr>
          <w:rFonts w:ascii="Avenir Next" w:hAnsi="Avenir Next" w:cs="Arial"/>
          <w:sz w:val="20"/>
          <w:szCs w:val="20"/>
          <w:lang w:val="en-GB"/>
        </w:rPr>
      </w:pPr>
    </w:p>
    <w:p w:rsidR="0065487B" w:rsidRPr="00F27947" w:rsidRDefault="0065487B" w:rsidP="0065487B">
      <w:pPr>
        <w:spacing w:after="0" w:line="360" w:lineRule="auto"/>
        <w:jc w:val="both"/>
        <w:rPr>
          <w:rFonts w:ascii="Avenir Next" w:hAnsi="Avenir Next" w:cs="Arial"/>
          <w:sz w:val="20"/>
          <w:szCs w:val="20"/>
          <w:lang w:val="en-GB"/>
        </w:rPr>
      </w:pPr>
      <w:r w:rsidRPr="00F27947">
        <w:rPr>
          <w:rFonts w:ascii="Avenir Next" w:hAnsi="Avenir Next" w:cs="Arial"/>
          <w:sz w:val="20"/>
          <w:szCs w:val="20"/>
          <w:lang w:val="en-GB"/>
        </w:rPr>
        <w:t>The core business of CGC is to assist SMEs, especially those with inadequate or without collateral and track record, to obtain credit facilities from financial institutions by providing guarantee cover on such facilities. CGC has availed over 444,700 guarantees and financing to SMEs valued over RM63.7 billion since its establishment.</w:t>
      </w:r>
      <w:r w:rsidRPr="00F27947">
        <w:rPr>
          <w:rFonts w:ascii="Avenir Next" w:hAnsi="Avenir Next" w:cs="Arial"/>
          <w:sz w:val="20"/>
          <w:szCs w:val="20"/>
          <w:lang w:val="en-GB"/>
        </w:rPr>
        <w:tab/>
      </w:r>
      <w:r w:rsidRPr="00F27947">
        <w:rPr>
          <w:rFonts w:ascii="Avenir Next" w:hAnsi="Avenir Next" w:cs="Arial"/>
          <w:sz w:val="20"/>
          <w:szCs w:val="20"/>
          <w:lang w:val="en-GB"/>
        </w:rPr>
        <w:br/>
      </w:r>
      <w:r w:rsidRPr="00F27947">
        <w:rPr>
          <w:rFonts w:ascii="Avenir Next" w:hAnsi="Avenir Next" w:cs="Arial"/>
          <w:sz w:val="20"/>
          <w:szCs w:val="20"/>
          <w:lang w:val="en-GB"/>
        </w:rPr>
        <w:br/>
        <w:t>CGC’s support for SMEs is not only confined to the provision of loan guarantees and financing facilities, but also credit information and credit rating services through its subsidiary Credit Bureau Malaysia. Through the Bureau, CGC assist SMEs to build a credit history and track record to enhance their credibility and bankability to secure financing on their own merit and at reasonable cost.</w:t>
      </w:r>
      <w:r w:rsidRPr="00F27947">
        <w:rPr>
          <w:rFonts w:ascii="Avenir Next" w:hAnsi="Avenir Next" w:cs="Arial"/>
          <w:sz w:val="20"/>
          <w:szCs w:val="20"/>
          <w:lang w:val="en-GB"/>
        </w:rPr>
        <w:tab/>
      </w:r>
      <w:r w:rsidRPr="00F27947">
        <w:rPr>
          <w:rFonts w:ascii="Avenir Next" w:hAnsi="Avenir Next" w:cs="Arial"/>
          <w:sz w:val="20"/>
          <w:szCs w:val="20"/>
          <w:lang w:val="en-GB"/>
        </w:rPr>
        <w:br/>
      </w:r>
      <w:r w:rsidRPr="00F27947">
        <w:rPr>
          <w:rFonts w:ascii="Avenir Next" w:hAnsi="Avenir Next" w:cs="Arial"/>
          <w:sz w:val="20"/>
          <w:szCs w:val="20"/>
          <w:lang w:val="en-GB"/>
        </w:rPr>
        <w:br/>
      </w:r>
      <w:r w:rsidRPr="00F27947">
        <w:rPr>
          <w:rFonts w:ascii="Avenir Next" w:hAnsi="Avenir Next" w:cs="Arial"/>
          <w:sz w:val="20"/>
          <w:szCs w:val="20"/>
          <w:lang w:val="en-GB"/>
        </w:rPr>
        <w:lastRenderedPageBreak/>
        <w:t>Other funds currently managed by CGC include the Green Technology Financing Scheme (GTFS) and the Bumiputera Entrepreneur Project Fund (TPUB-i) with a total allocation of RM3.5 billion and RM300 million respectively. To date, CGC had managed a total of 45 guarantee and financing schemes including 16 government-backed schemes.</w:t>
      </w:r>
      <w:r w:rsidRPr="00F27947">
        <w:rPr>
          <w:rFonts w:ascii="Avenir Next" w:hAnsi="Avenir Next" w:cs="Arial"/>
          <w:sz w:val="20"/>
          <w:szCs w:val="20"/>
          <w:lang w:val="en-GB"/>
        </w:rPr>
        <w:tab/>
      </w:r>
      <w:r w:rsidRPr="00F27947">
        <w:rPr>
          <w:rFonts w:ascii="Avenir Next" w:hAnsi="Avenir Next" w:cs="Arial"/>
          <w:sz w:val="20"/>
          <w:szCs w:val="20"/>
          <w:lang w:val="en-GB"/>
        </w:rPr>
        <w:br/>
      </w:r>
    </w:p>
    <w:p w:rsidR="0065487B" w:rsidRPr="00F27947" w:rsidRDefault="0065487B" w:rsidP="0065487B">
      <w:pPr>
        <w:spacing w:after="0" w:line="360" w:lineRule="auto"/>
        <w:jc w:val="both"/>
        <w:rPr>
          <w:rFonts w:ascii="Avenir Next" w:hAnsi="Avenir Next" w:cs="Arial"/>
          <w:sz w:val="20"/>
          <w:szCs w:val="20"/>
          <w:lang w:val="en-GB"/>
        </w:rPr>
      </w:pPr>
      <w:r w:rsidRPr="00F27947">
        <w:rPr>
          <w:rFonts w:ascii="Avenir Next" w:hAnsi="Avenir Next" w:cs="Arial"/>
          <w:sz w:val="20"/>
          <w:szCs w:val="20"/>
          <w:lang w:val="en-GB"/>
        </w:rPr>
        <w:t>Currently, seventeen (17) Commercial Banks, fifteen (15) Islamic Banks, and seven (7) Development Financial Institutions (DFIs) are participating in CGC’s guarantee schemes in providing financing to customers through a wide network of more than 2,600 branches nationwide to avail financing.</w:t>
      </w:r>
      <w:r w:rsidRPr="00F27947">
        <w:rPr>
          <w:rFonts w:ascii="Avenir Next" w:hAnsi="Avenir Next" w:cs="Arial"/>
          <w:sz w:val="20"/>
          <w:szCs w:val="20"/>
          <w:lang w:val="en-GB"/>
        </w:rPr>
        <w:tab/>
      </w:r>
      <w:r w:rsidRPr="00F27947">
        <w:rPr>
          <w:rFonts w:ascii="Avenir Next" w:hAnsi="Avenir Next" w:cs="Arial"/>
          <w:sz w:val="20"/>
          <w:szCs w:val="20"/>
          <w:lang w:val="en-GB"/>
        </w:rPr>
        <w:br/>
      </w:r>
    </w:p>
    <w:p w:rsidR="0065487B" w:rsidRPr="00F27947" w:rsidRDefault="0065487B" w:rsidP="0065487B">
      <w:pPr>
        <w:spacing w:after="0" w:line="360" w:lineRule="auto"/>
        <w:jc w:val="both"/>
        <w:rPr>
          <w:rFonts w:ascii="Avenir Next" w:hAnsi="Avenir Next"/>
        </w:rPr>
      </w:pPr>
      <w:r w:rsidRPr="00F27947">
        <w:rPr>
          <w:rFonts w:ascii="Avenir Next" w:hAnsi="Avenir Next" w:cs="Arial"/>
          <w:sz w:val="20"/>
          <w:szCs w:val="20"/>
          <w:lang w:val="en-GB"/>
        </w:rPr>
        <w:t xml:space="preserve">SMEs who are interested to obtain more information may call CGC’s Client Service Centre at 03-7880-0088 or email </w:t>
      </w:r>
      <w:r w:rsidRPr="00F27947">
        <w:rPr>
          <w:rFonts w:ascii="Avenir Next" w:hAnsi="Avenir Next" w:cs="Arial"/>
          <w:color w:val="0070C0"/>
          <w:sz w:val="20"/>
          <w:szCs w:val="20"/>
          <w:u w:val="single"/>
          <w:lang w:val="en-GB"/>
        </w:rPr>
        <w:t xml:space="preserve">csc@cgc.com.my </w:t>
      </w:r>
      <w:r w:rsidRPr="00F27947">
        <w:rPr>
          <w:rFonts w:ascii="Avenir Next" w:hAnsi="Avenir Next" w:cs="Arial"/>
          <w:sz w:val="20"/>
          <w:szCs w:val="20"/>
          <w:lang w:val="en-GB"/>
        </w:rPr>
        <w:t xml:space="preserve">or visit </w:t>
      </w:r>
      <w:hyperlink r:id="rId8" w:history="1">
        <w:r w:rsidRPr="00F27947">
          <w:rPr>
            <w:rStyle w:val="Hyperlink"/>
            <w:rFonts w:ascii="Avenir Next" w:hAnsi="Avenir Next" w:cs="Arial"/>
            <w:sz w:val="20"/>
            <w:szCs w:val="20"/>
            <w:lang w:val="en-GB"/>
          </w:rPr>
          <w:t>www.cgc.com.my</w:t>
        </w:r>
      </w:hyperlink>
      <w:r w:rsidRPr="00F27947">
        <w:rPr>
          <w:rStyle w:val="Hyperlink"/>
          <w:rFonts w:ascii="Avenir Next" w:hAnsi="Avenir Next" w:cs="Arial"/>
          <w:sz w:val="20"/>
          <w:szCs w:val="20"/>
          <w:lang w:val="en-GB"/>
        </w:rPr>
        <w:t xml:space="preserve"> or  www.facebook.com/cgcmy.</w:t>
      </w:r>
    </w:p>
    <w:p w:rsidR="0065487B" w:rsidRPr="00F27947" w:rsidRDefault="0065487B" w:rsidP="0065487B">
      <w:pPr>
        <w:spacing w:after="0" w:line="360" w:lineRule="auto"/>
        <w:jc w:val="both"/>
        <w:rPr>
          <w:rFonts w:ascii="Avenir Next" w:hAnsi="Avenir Next" w:cs="Arial"/>
          <w:sz w:val="20"/>
          <w:szCs w:val="20"/>
          <w:u w:val="single"/>
          <w:lang w:val="en-GB"/>
        </w:rPr>
      </w:pPr>
      <w:r w:rsidRPr="00F27947">
        <w:rPr>
          <w:rFonts w:ascii="Avenir Next" w:hAnsi="Avenir Next" w:cs="Arial"/>
          <w:sz w:val="20"/>
          <w:szCs w:val="20"/>
          <w:u w:val="single"/>
          <w:lang w:val="en-GB"/>
        </w:rPr>
        <w:t>For Media Enquiries:</w:t>
      </w:r>
    </w:p>
    <w:p w:rsidR="002D3EB4" w:rsidRPr="00F27947" w:rsidRDefault="002D3EB4" w:rsidP="0065487B">
      <w:pPr>
        <w:spacing w:after="0" w:line="360" w:lineRule="auto"/>
        <w:jc w:val="both"/>
        <w:rPr>
          <w:rFonts w:ascii="Avenir Next" w:hAnsi="Avenir Next" w:cs="Arial"/>
          <w:sz w:val="20"/>
          <w:szCs w:val="20"/>
          <w:lang w:val="en-GB"/>
        </w:rPr>
      </w:pPr>
    </w:p>
    <w:p w:rsidR="0065487B" w:rsidRPr="00F27947" w:rsidRDefault="0065487B" w:rsidP="0065487B">
      <w:pPr>
        <w:spacing w:after="0" w:line="240" w:lineRule="auto"/>
        <w:jc w:val="both"/>
        <w:rPr>
          <w:rFonts w:ascii="Avenir Next" w:hAnsi="Avenir Next" w:cs="Arial"/>
          <w:sz w:val="20"/>
          <w:szCs w:val="20"/>
          <w:lang w:val="en-GB"/>
        </w:rPr>
      </w:pPr>
      <w:r w:rsidRPr="00F27947">
        <w:rPr>
          <w:rFonts w:ascii="Avenir Next" w:hAnsi="Avenir Next" w:cs="Arial"/>
          <w:b/>
          <w:sz w:val="20"/>
          <w:szCs w:val="20"/>
          <w:lang w:val="en-GB"/>
        </w:rPr>
        <w:t xml:space="preserve">Corporate Communications Department </w:t>
      </w:r>
    </w:p>
    <w:p w:rsidR="0065487B" w:rsidRPr="00F27947" w:rsidRDefault="0065487B" w:rsidP="0065487B">
      <w:pPr>
        <w:spacing w:after="0" w:line="240" w:lineRule="auto"/>
        <w:jc w:val="both"/>
        <w:rPr>
          <w:rFonts w:ascii="Avenir Next" w:hAnsi="Avenir Next" w:cs="Arial"/>
          <w:b/>
          <w:sz w:val="20"/>
          <w:szCs w:val="20"/>
          <w:lang w:val="en-GB"/>
        </w:rPr>
      </w:pPr>
      <w:r w:rsidRPr="00F27947">
        <w:rPr>
          <w:rFonts w:ascii="Avenir Next" w:hAnsi="Avenir Next" w:cs="Arial"/>
          <w:b/>
          <w:sz w:val="20"/>
          <w:szCs w:val="20"/>
          <w:lang w:val="en-GB"/>
        </w:rPr>
        <w:t>Credit Guarantee Corporation Malaysia Berhad</w:t>
      </w:r>
    </w:p>
    <w:p w:rsidR="0065487B" w:rsidRPr="00F27947" w:rsidRDefault="0065487B" w:rsidP="0065487B">
      <w:pPr>
        <w:spacing w:after="0" w:line="240" w:lineRule="auto"/>
        <w:jc w:val="both"/>
        <w:rPr>
          <w:rFonts w:ascii="Avenir Next" w:hAnsi="Avenir Next" w:cs="Arial"/>
          <w:sz w:val="20"/>
          <w:szCs w:val="20"/>
          <w:lang w:val="en-GB"/>
        </w:rPr>
      </w:pPr>
      <w:r w:rsidRPr="00F27947">
        <w:rPr>
          <w:rFonts w:ascii="Avenir Next" w:hAnsi="Avenir Next" w:cs="Arial"/>
          <w:sz w:val="20"/>
          <w:szCs w:val="20"/>
          <w:lang w:val="en-GB"/>
        </w:rPr>
        <w:tab/>
      </w:r>
      <w:r w:rsidRPr="00F27947">
        <w:rPr>
          <w:rFonts w:ascii="Avenir Next" w:hAnsi="Avenir Next" w:cs="Arial"/>
          <w:sz w:val="20"/>
          <w:szCs w:val="20"/>
          <w:lang w:val="en-GB"/>
        </w:rPr>
        <w:tab/>
      </w:r>
      <w:r w:rsidRPr="00F27947">
        <w:rPr>
          <w:rFonts w:ascii="Avenir Next" w:hAnsi="Avenir Next" w:cs="Arial"/>
          <w:sz w:val="20"/>
          <w:szCs w:val="20"/>
          <w:lang w:val="en-GB"/>
        </w:rPr>
        <w:br/>
        <w:t>Kamalavacini Ramanathan</w:t>
      </w:r>
      <w:r w:rsidRPr="00F27947">
        <w:rPr>
          <w:rFonts w:ascii="Avenir Next" w:hAnsi="Avenir Next" w:cs="Arial"/>
          <w:sz w:val="20"/>
          <w:szCs w:val="20"/>
          <w:lang w:val="en-GB"/>
        </w:rPr>
        <w:tab/>
        <w:t xml:space="preserve">         </w:t>
      </w:r>
      <w:r w:rsidRPr="00F27947">
        <w:rPr>
          <w:rFonts w:ascii="Avenir Next" w:hAnsi="Avenir Next" w:cs="Arial"/>
          <w:sz w:val="20"/>
          <w:szCs w:val="20"/>
          <w:lang w:val="en-GB"/>
        </w:rPr>
        <w:tab/>
      </w:r>
      <w:r w:rsidRPr="00F27947">
        <w:rPr>
          <w:rFonts w:ascii="Avenir Next" w:hAnsi="Avenir Next" w:cs="Arial"/>
          <w:sz w:val="20"/>
          <w:szCs w:val="20"/>
          <w:lang w:val="en-GB"/>
        </w:rPr>
        <w:tab/>
      </w:r>
      <w:r w:rsidRPr="00F27947">
        <w:rPr>
          <w:rFonts w:ascii="Avenir Next" w:hAnsi="Avenir Next" w:cs="Arial"/>
          <w:sz w:val="20"/>
          <w:szCs w:val="20"/>
        </w:rPr>
        <w:t>Shyamini Sivanesan</w:t>
      </w:r>
      <w:r w:rsidRPr="00F27947">
        <w:rPr>
          <w:rFonts w:ascii="Avenir Next" w:hAnsi="Avenir Next" w:cs="Arial"/>
          <w:sz w:val="20"/>
          <w:szCs w:val="20"/>
          <w:lang w:val="en-GB"/>
        </w:rPr>
        <w:t xml:space="preserve">          </w:t>
      </w:r>
    </w:p>
    <w:p w:rsidR="0065487B" w:rsidRPr="00F27947" w:rsidRDefault="0065487B" w:rsidP="0065487B">
      <w:pPr>
        <w:spacing w:after="0" w:line="240" w:lineRule="auto"/>
        <w:jc w:val="both"/>
        <w:rPr>
          <w:rFonts w:ascii="Avenir Next" w:hAnsi="Avenir Next" w:cs="Arial"/>
          <w:sz w:val="20"/>
          <w:szCs w:val="20"/>
          <w:lang w:val="en-GB"/>
        </w:rPr>
      </w:pPr>
      <w:r w:rsidRPr="00F27947">
        <w:rPr>
          <w:rFonts w:ascii="Avenir Next" w:hAnsi="Avenir Next" w:cs="Arial"/>
          <w:sz w:val="20"/>
          <w:szCs w:val="20"/>
          <w:lang w:val="en-GB"/>
        </w:rPr>
        <w:t>Head, PR &amp; Media Liaison                                        PR &amp; Media Relations</w:t>
      </w:r>
    </w:p>
    <w:p w:rsidR="0065487B" w:rsidRPr="00F27947" w:rsidRDefault="0065487B" w:rsidP="0065487B">
      <w:pPr>
        <w:spacing w:after="0" w:line="240" w:lineRule="auto"/>
        <w:jc w:val="both"/>
        <w:rPr>
          <w:rFonts w:ascii="Avenir Next" w:hAnsi="Avenir Next" w:cs="Arial"/>
          <w:sz w:val="20"/>
          <w:szCs w:val="20"/>
          <w:lang w:val="en-GB"/>
        </w:rPr>
      </w:pPr>
      <w:r w:rsidRPr="00F27947">
        <w:rPr>
          <w:rFonts w:ascii="Avenir Next" w:hAnsi="Avenir Next" w:cs="Arial"/>
          <w:sz w:val="20"/>
          <w:szCs w:val="20"/>
          <w:lang w:val="en-GB"/>
        </w:rPr>
        <w:t>HP: 010-225-1073</w:t>
      </w:r>
      <w:r w:rsidRPr="00F27947">
        <w:rPr>
          <w:rFonts w:ascii="Avenir Next" w:hAnsi="Avenir Next" w:cs="Arial"/>
          <w:sz w:val="20"/>
          <w:szCs w:val="20"/>
          <w:lang w:val="en-GB"/>
        </w:rPr>
        <w:tab/>
        <w:t xml:space="preserve">                      </w:t>
      </w:r>
      <w:r w:rsidRPr="00F27947">
        <w:rPr>
          <w:rFonts w:ascii="Avenir Next" w:hAnsi="Avenir Next" w:cs="Arial"/>
          <w:sz w:val="20"/>
          <w:szCs w:val="20"/>
          <w:lang w:val="en-GB"/>
        </w:rPr>
        <w:tab/>
        <w:t xml:space="preserve">              HP: 016-684-0100 </w:t>
      </w:r>
    </w:p>
    <w:p w:rsidR="001307D3" w:rsidRPr="002D3EB4" w:rsidRDefault="0065487B" w:rsidP="002D3EB4">
      <w:pPr>
        <w:spacing w:after="0" w:line="240" w:lineRule="auto"/>
        <w:jc w:val="both"/>
        <w:rPr>
          <w:rFonts w:ascii="Avenir Next" w:hAnsi="Avenir Next" w:cs="Arial"/>
          <w:sz w:val="20"/>
          <w:szCs w:val="20"/>
          <w:lang w:val="en-GB"/>
        </w:rPr>
      </w:pPr>
      <w:r w:rsidRPr="00F27947">
        <w:rPr>
          <w:rFonts w:ascii="Avenir Next" w:hAnsi="Avenir Next" w:cs="Arial"/>
          <w:sz w:val="20"/>
          <w:szCs w:val="20"/>
          <w:lang w:val="en-GB"/>
        </w:rPr>
        <w:t xml:space="preserve">Email: </w:t>
      </w:r>
      <w:hyperlink r:id="rId9" w:history="1">
        <w:r w:rsidRPr="00F27947">
          <w:rPr>
            <w:rStyle w:val="Hyperlink"/>
            <w:rFonts w:ascii="Avenir Next" w:hAnsi="Avenir Next" w:cs="Arial"/>
            <w:sz w:val="20"/>
            <w:szCs w:val="20"/>
            <w:lang w:val="en-GB"/>
          </w:rPr>
          <w:t>kamalavacini@cgc.com.my</w:t>
        </w:r>
      </w:hyperlink>
      <w:r w:rsidRPr="00F27947">
        <w:rPr>
          <w:rFonts w:ascii="Avenir Next" w:hAnsi="Avenir Next" w:cs="Arial"/>
          <w:sz w:val="20"/>
          <w:szCs w:val="20"/>
          <w:lang w:val="en-GB"/>
        </w:rPr>
        <w:t xml:space="preserve"> </w:t>
      </w:r>
      <w:r w:rsidRPr="00F27947">
        <w:rPr>
          <w:rFonts w:ascii="Avenir Next" w:hAnsi="Avenir Next" w:cs="Arial"/>
          <w:sz w:val="20"/>
          <w:szCs w:val="20"/>
          <w:lang w:val="en-GB"/>
        </w:rPr>
        <w:tab/>
      </w:r>
      <w:r w:rsidRPr="00F27947">
        <w:rPr>
          <w:rFonts w:ascii="Avenir Next" w:hAnsi="Avenir Next" w:cs="Arial"/>
          <w:sz w:val="20"/>
          <w:szCs w:val="20"/>
          <w:lang w:val="en-GB"/>
        </w:rPr>
        <w:tab/>
      </w:r>
      <w:r w:rsidRPr="00F27947">
        <w:rPr>
          <w:rFonts w:ascii="Avenir Next" w:hAnsi="Avenir Next" w:cs="Arial"/>
          <w:sz w:val="20"/>
          <w:szCs w:val="20"/>
          <w:u w:val="single"/>
          <w:lang w:val="en-GB"/>
        </w:rPr>
        <w:t xml:space="preserve">Email: </w:t>
      </w:r>
      <w:hyperlink r:id="rId10" w:history="1">
        <w:r w:rsidR="002D3EB4" w:rsidRPr="00F27947">
          <w:rPr>
            <w:rStyle w:val="Hyperlink"/>
            <w:rFonts w:ascii="Avenir Next" w:hAnsi="Avenir Next"/>
          </w:rPr>
          <w:t>shyamini@cgc.com.my</w:t>
        </w:r>
      </w:hyperlink>
    </w:p>
    <w:p w:rsidR="001307D3" w:rsidRPr="00021A8C" w:rsidRDefault="001307D3" w:rsidP="00021A8C">
      <w:pPr>
        <w:rPr>
          <w:rFonts w:ascii="Avenir Next" w:hAnsi="Avenir Next"/>
        </w:rPr>
      </w:pPr>
    </w:p>
    <w:sectPr w:rsidR="001307D3" w:rsidRPr="00021A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15" w:rsidRDefault="00175615" w:rsidP="007230C2">
      <w:pPr>
        <w:spacing w:after="0" w:line="240" w:lineRule="auto"/>
      </w:pPr>
      <w:r>
        <w:separator/>
      </w:r>
    </w:p>
  </w:endnote>
  <w:endnote w:type="continuationSeparator" w:id="0">
    <w:p w:rsidR="00175615" w:rsidRDefault="00175615" w:rsidP="0072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Next">
    <w:altName w:val="Corbe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53699"/>
      <w:docPartObj>
        <w:docPartGallery w:val="Page Numbers (Bottom of Page)"/>
        <w:docPartUnique/>
      </w:docPartObj>
    </w:sdtPr>
    <w:sdtEndPr>
      <w:rPr>
        <w:noProof/>
      </w:rPr>
    </w:sdtEndPr>
    <w:sdtContent>
      <w:p w:rsidR="007230C2" w:rsidRDefault="007230C2">
        <w:pPr>
          <w:pStyle w:val="Footer"/>
          <w:jc w:val="right"/>
        </w:pPr>
        <w:r>
          <w:fldChar w:fldCharType="begin"/>
        </w:r>
        <w:r>
          <w:instrText xml:space="preserve"> PAGE   \* MERGEFORMAT </w:instrText>
        </w:r>
        <w:r>
          <w:fldChar w:fldCharType="separate"/>
        </w:r>
        <w:r w:rsidR="00C52665">
          <w:rPr>
            <w:noProof/>
          </w:rPr>
          <w:t>1</w:t>
        </w:r>
        <w:r>
          <w:rPr>
            <w:noProof/>
          </w:rPr>
          <w:fldChar w:fldCharType="end"/>
        </w:r>
      </w:p>
    </w:sdtContent>
  </w:sdt>
  <w:p w:rsidR="007230C2" w:rsidRDefault="00723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15" w:rsidRDefault="00175615" w:rsidP="007230C2">
      <w:pPr>
        <w:spacing w:after="0" w:line="240" w:lineRule="auto"/>
      </w:pPr>
      <w:r>
        <w:separator/>
      </w:r>
    </w:p>
  </w:footnote>
  <w:footnote w:type="continuationSeparator" w:id="0">
    <w:p w:rsidR="00175615" w:rsidRDefault="00175615" w:rsidP="00723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12"/>
    <w:rsid w:val="00021A8C"/>
    <w:rsid w:val="000417BB"/>
    <w:rsid w:val="000A48A2"/>
    <w:rsid w:val="000B0222"/>
    <w:rsid w:val="001307D3"/>
    <w:rsid w:val="00175615"/>
    <w:rsid w:val="002D3EB4"/>
    <w:rsid w:val="00505FAE"/>
    <w:rsid w:val="005E3619"/>
    <w:rsid w:val="0065487B"/>
    <w:rsid w:val="007230C2"/>
    <w:rsid w:val="00756C85"/>
    <w:rsid w:val="007C1F80"/>
    <w:rsid w:val="00817BE6"/>
    <w:rsid w:val="008E36DE"/>
    <w:rsid w:val="009128D5"/>
    <w:rsid w:val="00955355"/>
    <w:rsid w:val="009A60C9"/>
    <w:rsid w:val="00BF3CBE"/>
    <w:rsid w:val="00C52665"/>
    <w:rsid w:val="00C60812"/>
    <w:rsid w:val="00CA6C15"/>
    <w:rsid w:val="00D00D12"/>
    <w:rsid w:val="00D70367"/>
    <w:rsid w:val="00E47798"/>
    <w:rsid w:val="00EF1411"/>
    <w:rsid w:val="00F279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87B"/>
    <w:rPr>
      <w:color w:val="0563C1"/>
      <w:u w:val="single"/>
    </w:rPr>
  </w:style>
  <w:style w:type="paragraph" w:styleId="Header">
    <w:name w:val="header"/>
    <w:basedOn w:val="Normal"/>
    <w:link w:val="HeaderChar"/>
    <w:uiPriority w:val="99"/>
    <w:unhideWhenUsed/>
    <w:rsid w:val="0072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C2"/>
  </w:style>
  <w:style w:type="paragraph" w:styleId="Footer">
    <w:name w:val="footer"/>
    <w:basedOn w:val="Normal"/>
    <w:link w:val="FooterChar"/>
    <w:uiPriority w:val="99"/>
    <w:unhideWhenUsed/>
    <w:rsid w:val="0072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C2"/>
  </w:style>
  <w:style w:type="paragraph" w:styleId="BalloonText">
    <w:name w:val="Balloon Text"/>
    <w:basedOn w:val="Normal"/>
    <w:link w:val="BalloonTextChar"/>
    <w:uiPriority w:val="99"/>
    <w:semiHidden/>
    <w:unhideWhenUsed/>
    <w:rsid w:val="00BF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87B"/>
    <w:rPr>
      <w:color w:val="0563C1"/>
      <w:u w:val="single"/>
    </w:rPr>
  </w:style>
  <w:style w:type="paragraph" w:styleId="Header">
    <w:name w:val="header"/>
    <w:basedOn w:val="Normal"/>
    <w:link w:val="HeaderChar"/>
    <w:uiPriority w:val="99"/>
    <w:unhideWhenUsed/>
    <w:rsid w:val="0072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C2"/>
  </w:style>
  <w:style w:type="paragraph" w:styleId="Footer">
    <w:name w:val="footer"/>
    <w:basedOn w:val="Normal"/>
    <w:link w:val="FooterChar"/>
    <w:uiPriority w:val="99"/>
    <w:unhideWhenUsed/>
    <w:rsid w:val="0072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C2"/>
  </w:style>
  <w:style w:type="paragraph" w:styleId="BalloonText">
    <w:name w:val="Balloon Text"/>
    <w:basedOn w:val="Normal"/>
    <w:link w:val="BalloonTextChar"/>
    <w:uiPriority w:val="99"/>
    <w:semiHidden/>
    <w:unhideWhenUsed/>
    <w:rsid w:val="00BF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2030">
      <w:bodyDiv w:val="1"/>
      <w:marLeft w:val="0"/>
      <w:marRight w:val="0"/>
      <w:marTop w:val="0"/>
      <w:marBottom w:val="0"/>
      <w:divBdr>
        <w:top w:val="none" w:sz="0" w:space="0" w:color="auto"/>
        <w:left w:val="none" w:sz="0" w:space="0" w:color="auto"/>
        <w:bottom w:val="none" w:sz="0" w:space="0" w:color="auto"/>
        <w:right w:val="none" w:sz="0" w:space="0" w:color="auto"/>
      </w:divBdr>
      <w:divsChild>
        <w:div w:id="145825939">
          <w:marLeft w:val="0"/>
          <w:marRight w:val="0"/>
          <w:marTop w:val="0"/>
          <w:marBottom w:val="0"/>
          <w:divBdr>
            <w:top w:val="none" w:sz="0" w:space="0" w:color="auto"/>
            <w:left w:val="none" w:sz="0" w:space="0" w:color="auto"/>
            <w:bottom w:val="none" w:sz="0" w:space="0" w:color="auto"/>
            <w:right w:val="none" w:sz="0" w:space="0" w:color="auto"/>
          </w:divBdr>
          <w:divsChild>
            <w:div w:id="952974761">
              <w:marLeft w:val="0"/>
              <w:marRight w:val="0"/>
              <w:marTop w:val="0"/>
              <w:marBottom w:val="0"/>
              <w:divBdr>
                <w:top w:val="none" w:sz="0" w:space="0" w:color="auto"/>
                <w:left w:val="none" w:sz="0" w:space="0" w:color="auto"/>
                <w:bottom w:val="none" w:sz="0" w:space="0" w:color="auto"/>
                <w:right w:val="none" w:sz="0" w:space="0" w:color="auto"/>
              </w:divBdr>
              <w:divsChild>
                <w:div w:id="1936745127">
                  <w:marLeft w:val="0"/>
                  <w:marRight w:val="4800"/>
                  <w:marTop w:val="0"/>
                  <w:marBottom w:val="0"/>
                  <w:divBdr>
                    <w:top w:val="none" w:sz="0" w:space="0" w:color="auto"/>
                    <w:left w:val="none" w:sz="0" w:space="0" w:color="auto"/>
                    <w:bottom w:val="none" w:sz="0" w:space="0" w:color="auto"/>
                    <w:right w:val="none" w:sz="0" w:space="0" w:color="auto"/>
                  </w:divBdr>
                  <w:divsChild>
                    <w:div w:id="460415926">
                      <w:marLeft w:val="0"/>
                      <w:marRight w:val="0"/>
                      <w:marTop w:val="0"/>
                      <w:marBottom w:val="0"/>
                      <w:divBdr>
                        <w:top w:val="none" w:sz="0" w:space="0" w:color="auto"/>
                        <w:left w:val="none" w:sz="0" w:space="0" w:color="auto"/>
                        <w:bottom w:val="none" w:sz="0" w:space="0" w:color="auto"/>
                        <w:right w:val="none" w:sz="0" w:space="0" w:color="auto"/>
                      </w:divBdr>
                      <w:divsChild>
                        <w:div w:id="3099157">
                          <w:marLeft w:val="0"/>
                          <w:marRight w:val="0"/>
                          <w:marTop w:val="0"/>
                          <w:marBottom w:val="0"/>
                          <w:divBdr>
                            <w:top w:val="none" w:sz="0" w:space="0" w:color="auto"/>
                            <w:left w:val="none" w:sz="0" w:space="0" w:color="auto"/>
                            <w:bottom w:val="none" w:sz="0" w:space="0" w:color="auto"/>
                            <w:right w:val="none" w:sz="0" w:space="0" w:color="auto"/>
                          </w:divBdr>
                          <w:divsChild>
                            <w:div w:id="1878468864">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c.com.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yamini@cgc.com.my" TargetMode="External"/><Relationship Id="rId4" Type="http://schemas.openxmlformats.org/officeDocument/2006/relationships/webSettings" Target="webSettings.xml"/><Relationship Id="rId9" Type="http://schemas.openxmlformats.org/officeDocument/2006/relationships/hyperlink" Target="mailto:kamalavacini@cgc.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Kamalavacini Ramanathan</dc:creator>
  <cp:lastModifiedBy>Robert</cp:lastModifiedBy>
  <cp:revision>2</cp:revision>
  <cp:lastPrinted>2017-08-02T11:27:00Z</cp:lastPrinted>
  <dcterms:created xsi:type="dcterms:W3CDTF">2017-08-10T06:00:00Z</dcterms:created>
  <dcterms:modified xsi:type="dcterms:W3CDTF">2017-08-10T06:00:00Z</dcterms:modified>
</cp:coreProperties>
</file>